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2"/>
          <w:szCs w:val="32"/>
          <w:lang w:val="en-US" w:eastAsia="zh-CN"/>
        </w:rPr>
      </w:pPr>
      <w:r>
        <w:rPr>
          <w:rFonts w:hint="eastAsia" w:ascii="黑体" w:eastAsia="黑体"/>
          <w:sz w:val="32"/>
          <w:szCs w:val="32"/>
        </w:rPr>
        <w:t>附件</w:t>
      </w:r>
      <w:r>
        <w:rPr>
          <w:rFonts w:hint="eastAsia" w:ascii="黑体" w:eastAsia="黑体"/>
          <w:sz w:val="32"/>
          <w:szCs w:val="32"/>
          <w:lang w:val="en-US" w:eastAsia="zh-CN"/>
        </w:rPr>
        <w:t>4</w:t>
      </w:r>
    </w:p>
    <w:p>
      <w:pPr>
        <w:spacing w:line="600" w:lineRule="exact"/>
        <w:jc w:val="center"/>
      </w:pPr>
    </w:p>
    <w:p>
      <w:pPr>
        <w:widowControl/>
        <w:spacing w:line="600" w:lineRule="exact"/>
        <w:jc w:val="center"/>
        <w:outlineLvl w:val="1"/>
        <w:rPr>
          <w:rFonts w:ascii="方正小标宋简体" w:hAnsi="华文中宋" w:eastAsia="方正小标宋简体" w:cs="宋体"/>
          <w:bCs/>
          <w:color w:val="000000"/>
          <w:kern w:val="0"/>
          <w:sz w:val="44"/>
          <w:szCs w:val="36"/>
        </w:rPr>
      </w:pPr>
      <w:r>
        <w:rPr>
          <w:rFonts w:hint="eastAsia" w:ascii="方正小标宋简体" w:hAnsi="华文中宋" w:eastAsia="方正小标宋简体" w:cs="宋体"/>
          <w:bCs/>
          <w:color w:val="000000"/>
          <w:kern w:val="0"/>
          <w:sz w:val="44"/>
          <w:szCs w:val="36"/>
        </w:rPr>
        <w:t>江西省高等学校教学改革</w:t>
      </w:r>
      <w:bookmarkStart w:id="0" w:name="_GoBack"/>
      <w:bookmarkEnd w:id="0"/>
      <w:r>
        <w:rPr>
          <w:rFonts w:hint="eastAsia" w:ascii="方正小标宋简体" w:hAnsi="华文中宋" w:eastAsia="方正小标宋简体" w:cs="宋体"/>
          <w:bCs/>
          <w:color w:val="000000"/>
          <w:kern w:val="0"/>
          <w:sz w:val="44"/>
          <w:szCs w:val="36"/>
        </w:rPr>
        <w:t>研究课题管理办法</w:t>
      </w:r>
    </w:p>
    <w:p>
      <w:pPr>
        <w:widowControl/>
        <w:spacing w:line="600" w:lineRule="exact"/>
        <w:jc w:val="center"/>
        <w:rPr>
          <w:rFonts w:ascii="宋体" w:hAnsi="宋体" w:cs="宋体"/>
          <w:bCs/>
          <w:color w:val="000000"/>
          <w:kern w:val="0"/>
          <w:sz w:val="32"/>
          <w:szCs w:val="32"/>
        </w:rPr>
      </w:pPr>
    </w:p>
    <w:p>
      <w:pPr>
        <w:spacing w:line="600" w:lineRule="exact"/>
        <w:jc w:val="center"/>
        <w:rPr>
          <w:rFonts w:ascii="黑体" w:hAnsi="宋体" w:eastAsia="黑体" w:cs="宋体"/>
          <w:bCs/>
          <w:color w:val="000000"/>
          <w:kern w:val="0"/>
          <w:sz w:val="32"/>
          <w:szCs w:val="32"/>
        </w:rPr>
      </w:pPr>
      <w:r>
        <w:rPr>
          <w:rFonts w:hint="eastAsia" w:ascii="黑体" w:hAnsi="宋体" w:eastAsia="黑体" w:cs="宋体"/>
          <w:bCs/>
          <w:color w:val="000000"/>
          <w:kern w:val="0"/>
          <w:sz w:val="32"/>
          <w:szCs w:val="32"/>
        </w:rPr>
        <w:t>一、总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第一条  为了加强对江西省高等学校教学改革研究课题（以下称“省级教改课题”，可简称“省教改课题”）的管理，进一步推动我省高等教育教学改革与建设，提高教学质量，特制定本办法。</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第二条  </w:t>
      </w:r>
      <w:r>
        <w:rPr>
          <w:rFonts w:hint="eastAsia" w:ascii="仿宋_GB2312" w:hAnsi="宋体" w:eastAsia="仿宋_GB2312" w:cs="宋体"/>
          <w:bCs/>
          <w:color w:val="000000"/>
          <w:spacing w:val="-2"/>
          <w:kern w:val="0"/>
          <w:sz w:val="32"/>
          <w:szCs w:val="32"/>
        </w:rPr>
        <w:t>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第三条  省教育厅对省教改课题进行综合管理并负责组织实施。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第四条  高等学校要把教学改革研究课题的指导、管理工作纳入本校教学和科研工作计划，为教学研究创造良好的条件，并对教学研究成绩突出的人员予以奖励。</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二、申报与立项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第五条  省教改课题主要范围是高等学校办学思想的研究，各专业的人才培养模式、课程体系、教学内容、教学方法、教学手段改革以及教学管理改革的研究与实践等。课题分重点课题、一般课题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第六条  省教改课题每年申报1次。自省教改课题立项指南发布之日起受理各高校的课题申报，受理期限为1个月。高校在申报课题时，应确保教学第一线教师申报的课题比例占申报数额的80%以上。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第七条  申请省教改课题一般应具备下列条件：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1.对江西省高等教育改革与发展具有一定的理论指导意义和实践运用价值；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2.具有一定的学术价值，对深化教学改革，提高教育质量，具有较大的作用；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3.能为教育行政部门的决策提供理论依据和科学论证；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4.能取得较好的预期效益，研究成果具有实际应用、推广价值；</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5.课题论证充分，目标明确，研究计划可行，研究方法科学，经费预算、人员组合合理，具备按计划完成研究任务的各项基本条件；</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6.为了体现教学改革研究课题的应用性特点，发挥课题对促进教学改革、提高教学质量的实际作用，课题研究时间一般应不少于2年。</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课题研究时间从批准立项的时间开始起算。</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第八条  为了保证省教改课题研究的水平和质量，申请人一般应是承担过校级以上科研课题、具有副高级以上职称的专业技术人员。其他人员须有2名相关专业高级职称以上人员推荐，推荐函包括课题的选题价值、队伍情况、科研基础、科研条件保障、成果预测等内容。省教改课题实行课题主持人负责制，主持人仅限1人，参研人员一般在 4人以内。</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鼓励各高校发挥学术团队或教学团队进行项目研究的集体攻关，以教研室、课程组等团队形式申报课题。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承担有省教改课题研究任务者，在其主持的省教改课题通过结题鉴定后，方可申报下一年度的课题。课题主持人不得同时申请2个及2个以上课题。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第九条  各高校根据省教改课题的性质、目标和本校的实际，对申报项目通过科学、合理的组织方式和初评程序进行初审，确保推荐质量，并按照规定的要求上报到省教育厅指定的地点。</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第十一条  省教育厅根据专家组的评审结果，形成立项意见，报厅领导审批后确定立项项目。</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三、过程管理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第十二条  省教育厅高教处、职成处是省教改课题的管理部门，负责省教改课题的日常管理工作。各高校应明确具体管理部门并配备专职人员。</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第十三条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实行资助课题开题报告制度。开题报告书主要就课题研究的目标、思路、内容与方法，以及研究计划等进行报告。具体操作办法授权学校课题管理部门制定。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高校应将实施课题中期报告制度作为帮助和督促课题组实施研究计划、安排课题经费、完成研究任务、达到研究目标的主要措施。</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第十五条  </w:t>
      </w:r>
      <w:r>
        <w:rPr>
          <w:rFonts w:hint="eastAsia" w:ascii="仿宋_GB2312" w:hAnsi="宋体" w:eastAsia="仿宋_GB2312" w:cs="宋体"/>
          <w:bCs/>
          <w:color w:val="000000"/>
          <w:spacing w:val="-4"/>
          <w:kern w:val="0"/>
          <w:sz w:val="32"/>
          <w:szCs w:val="32"/>
        </w:rPr>
        <w:t>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第十六条</w:t>
      </w:r>
      <w:r>
        <w:rPr>
          <w:rFonts w:hint="eastAsia" w:ascii="仿宋_GB2312" w:hAnsi="宋体" w:eastAsia="仿宋_GB2312" w:cs="宋体"/>
          <w:bCs/>
          <w:color w:val="000000"/>
          <w:kern w:val="0"/>
          <w:sz w:val="32"/>
          <w:szCs w:val="32"/>
        </w:rPr>
        <w:tab/>
      </w:r>
      <w:r>
        <w:rPr>
          <w:rFonts w:hint="eastAsia" w:ascii="仿宋_GB2312" w:hAnsi="宋体" w:eastAsia="仿宋_GB2312" w:cs="宋体"/>
          <w:bCs/>
          <w:color w:val="000000"/>
          <w:kern w:val="0"/>
          <w:sz w:val="32"/>
          <w:szCs w:val="32"/>
        </w:rPr>
        <w:t>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四、结题鉴定</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第十七条  实行研究成果实践应用与检验制度。其中，理论性课题研究成果的实际应用时间一般应在半年以上；实践性课题研究成果的实际应用时间一般应在1年以上。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第十八条  完成课题任务后，课题主持人根据课题申报书设定的研究计划、研究目标及课题研究任务的实际完成情况，向学校提出结题鉴定申请；如果一所高校申请结题的课题数量较少，可按照就近就便的原则与其它高校的结题工作合并进行。省教育厅不直接受理课题主持人的结题鉴定申请。</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结题鉴定表单独装订。</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第二十一条  每所高校每年组织课题结题鉴定的次数一般为2次（6月、12月）。</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第二十二条  实行课题结题鉴定结果复审制度。课题组如对专家结题评审意见有异议的，可提出课题结题复审，由省教育厅高教处重新组织专家评审，并原则上以复审意见为终审意见。</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五、成果应用推广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第二十三条  对推动教学改革与建设、提高教学质量具有重要作用并可能产生重大社会效益的应用研究，课题主持人、承担高校应向其他高校和社会组织推荐，促使省教改课题发挥效益。</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第二十四条  对深化高教改革，提高高校教育教学质量有重要意义的课题成果，高校应采取各种措施加以宣传和推广。</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第二十五条  省教育厅不定期对通过结题鉴定的教改课题成果进行汇编，并召开教学改革研究课题成果报告会，及时发布研究成果信息，开展学术交流，促进优秀教学研究成果的传播与运用。</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第二十六条  省教改课题的研究成果（论著、论文等）公开出版（发表）或交流时，须在醒目位置注明（标明）课题类型。</w:t>
      </w:r>
    </w:p>
    <w:p>
      <w:pPr>
        <w:spacing w:line="580" w:lineRule="exact"/>
        <w:jc w:val="center"/>
        <w:rPr>
          <w:rFonts w:hint="eastAsia" w:ascii="黑体" w:hAnsi="黑体" w:eastAsia="黑体" w:cs="宋体"/>
          <w:bCs/>
          <w:color w:val="000000"/>
          <w:kern w:val="0"/>
          <w:sz w:val="32"/>
          <w:szCs w:val="32"/>
        </w:rPr>
      </w:pPr>
      <w:r>
        <w:rPr>
          <w:rFonts w:hint="eastAsia" w:ascii="黑体" w:hAnsi="黑体" w:eastAsia="黑体" w:cs="宋体"/>
          <w:bCs/>
          <w:color w:val="000000"/>
          <w:kern w:val="0"/>
          <w:sz w:val="32"/>
          <w:szCs w:val="32"/>
        </w:rPr>
        <w:t>六、附 则</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第二十七条  省教育厅以前发布的省教改课题管理规章文件中与本办法相抵触的,以本办法的规定为准。</w:t>
      </w:r>
    </w:p>
    <w:p>
      <w:pPr>
        <w:spacing w:line="580" w:lineRule="exact"/>
        <w:ind w:firstLine="640" w:firstLineChars="200"/>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第二十八条  各高校根据本办法制定本校相应的管理办法或实施细则，并报省教育厅有关职能管理部门备案。</w:t>
      </w:r>
    </w:p>
    <w:p>
      <w:pPr>
        <w:spacing w:line="580" w:lineRule="exact"/>
        <w:ind w:firstLine="640" w:firstLineChars="200"/>
        <w:rPr>
          <w:rFonts w:hint="eastAsia" w:ascii="仿宋_GB2312" w:eastAsia="仿宋_GB2312"/>
          <w:sz w:val="32"/>
          <w:szCs w:val="32"/>
        </w:rPr>
      </w:pPr>
      <w:r>
        <w:rPr>
          <w:rFonts w:hint="eastAsia" w:ascii="仿宋_GB2312" w:hAnsi="宋体" w:eastAsia="仿宋_GB2312" w:cs="宋体"/>
          <w:bCs/>
          <w:color w:val="000000"/>
          <w:kern w:val="0"/>
          <w:sz w:val="32"/>
          <w:szCs w:val="32"/>
        </w:rPr>
        <w:t>第二十九条  本办法的解释权归江西省教育厅。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CA48316-6169-4B63-B256-497FAB1CC85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753EF0C-17DE-44DC-893E-86FBE8C2061C}"/>
  </w:font>
  <w:font w:name="方正小标宋简体">
    <w:panose1 w:val="02000000000000000000"/>
    <w:charset w:val="86"/>
    <w:family w:val="auto"/>
    <w:pitch w:val="default"/>
    <w:sig w:usb0="00000001" w:usb1="080E0000" w:usb2="00000000" w:usb3="00000000" w:csb0="00040000" w:csb1="00000000"/>
    <w:embedRegular r:id="rId3" w:fontKey="{991BFE51-6FA1-4B2F-A1BA-F1518C4FF5ED}"/>
  </w:font>
  <w:font w:name="华文中宋">
    <w:panose1 w:val="02010600040101010101"/>
    <w:charset w:val="86"/>
    <w:family w:val="auto"/>
    <w:pitch w:val="default"/>
    <w:sig w:usb0="00000287" w:usb1="080F0000" w:usb2="00000000" w:usb3="00000000" w:csb0="0004009F" w:csb1="DFD70000"/>
    <w:embedRegular r:id="rId4" w:fontKey="{4EA326BB-97A7-45F9-9413-F8E2E1B510EC}"/>
  </w:font>
  <w:font w:name="仿宋_GB2312">
    <w:altName w:val="仿宋"/>
    <w:panose1 w:val="02010609030101010101"/>
    <w:charset w:val="86"/>
    <w:family w:val="modern"/>
    <w:pitch w:val="default"/>
    <w:sig w:usb0="00000000" w:usb1="00000000" w:usb2="00000010" w:usb3="00000000" w:csb0="00040000" w:csb1="00000000"/>
    <w:embedRegular r:id="rId5" w:fontKey="{D26AF828-3A16-4232-B284-D9B4E07A2B84}"/>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06"/>
    <w:rsid w:val="005465FB"/>
    <w:rsid w:val="006D6373"/>
    <w:rsid w:val="007F3FCD"/>
    <w:rsid w:val="0087494E"/>
    <w:rsid w:val="00C043FE"/>
    <w:rsid w:val="00F76506"/>
    <w:rsid w:val="10D75E1C"/>
    <w:rsid w:val="16A8101F"/>
    <w:rsid w:val="738C4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499</Words>
  <Characters>2845</Characters>
  <Lines>23</Lines>
  <Paragraphs>6</Paragraphs>
  <TotalTime>0</TotalTime>
  <ScaleCrop>false</ScaleCrop>
  <LinksUpToDate>false</LinksUpToDate>
  <CharactersWithSpaces>3338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2020-09-21T02:59:00Z</dcterms:created>
  <dc:creator>wy</dc:creator>
  <cp:lastModifiedBy>lin</cp:lastModifiedBy>
  <dcterms:modified xsi:type="dcterms:W3CDTF">2021-10-26T04:07:08Z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